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F6C" w:rsidRPr="00225F6C" w:rsidRDefault="00225F6C" w:rsidP="00225F6C">
      <w:pPr>
        <w:shd w:val="clear" w:color="auto" w:fill="FFFFFF"/>
        <w:spacing w:after="45" w:line="240" w:lineRule="auto"/>
        <w:outlineLvl w:val="0"/>
        <w:rPr>
          <w:rFonts w:ascii="Arial" w:eastAsia="Times New Roman" w:hAnsi="Arial" w:cs="Arial"/>
          <w:color w:val="000000"/>
          <w:kern w:val="36"/>
          <w:sz w:val="30"/>
          <w:szCs w:val="30"/>
          <w:lang w:eastAsia="ru-RU"/>
        </w:rPr>
      </w:pPr>
      <w:r w:rsidRPr="00225F6C">
        <w:rPr>
          <w:rFonts w:ascii="Arial" w:eastAsia="Times New Roman" w:hAnsi="Arial" w:cs="Arial"/>
          <w:color w:val="000000"/>
          <w:kern w:val="36"/>
          <w:sz w:val="30"/>
          <w:szCs w:val="30"/>
          <w:lang w:eastAsia="ru-RU"/>
        </w:rPr>
        <w:t>ИСТОРИЯ ТАТАРСКОГО ТЕАТРА В ПЛАКАТНОМ ИСКУССТВЕ (1906–2016)</w:t>
      </w:r>
    </w:p>
    <w:p w:rsidR="00225F6C" w:rsidRPr="00225F6C" w:rsidRDefault="00225F6C" w:rsidP="00225F6C">
      <w:pPr>
        <w:shd w:val="clear" w:color="auto" w:fill="FFFFFF"/>
        <w:spacing w:before="105" w:after="105" w:line="240" w:lineRule="auto"/>
        <w:jc w:val="right"/>
        <w:rPr>
          <w:rFonts w:ascii="Arial" w:eastAsia="Times New Roman" w:hAnsi="Arial" w:cs="Arial"/>
          <w:color w:val="222222"/>
          <w:sz w:val="21"/>
          <w:szCs w:val="21"/>
          <w:lang w:eastAsia="ru-RU"/>
        </w:rPr>
      </w:pPr>
      <w:proofErr w:type="spellStart"/>
      <w:r w:rsidRPr="00225F6C">
        <w:rPr>
          <w:rFonts w:ascii="Arial" w:eastAsia="Times New Roman" w:hAnsi="Arial" w:cs="Arial"/>
          <w:b/>
          <w:bCs/>
          <w:color w:val="222222"/>
          <w:sz w:val="21"/>
          <w:szCs w:val="21"/>
          <w:lang w:eastAsia="ru-RU"/>
        </w:rPr>
        <w:t>Рауза</w:t>
      </w:r>
      <w:proofErr w:type="spellEnd"/>
      <w:r w:rsidRPr="00225F6C">
        <w:rPr>
          <w:rFonts w:ascii="Arial" w:eastAsia="Times New Roman" w:hAnsi="Arial" w:cs="Arial"/>
          <w:b/>
          <w:bCs/>
          <w:color w:val="222222"/>
          <w:sz w:val="21"/>
          <w:szCs w:val="21"/>
          <w:lang w:eastAsia="ru-RU"/>
        </w:rPr>
        <w:t xml:space="preserve"> </w:t>
      </w:r>
      <w:proofErr w:type="spellStart"/>
      <w:r w:rsidRPr="00225F6C">
        <w:rPr>
          <w:rFonts w:ascii="Arial" w:eastAsia="Times New Roman" w:hAnsi="Arial" w:cs="Arial"/>
          <w:b/>
          <w:bCs/>
          <w:color w:val="222222"/>
          <w:sz w:val="21"/>
          <w:szCs w:val="21"/>
          <w:lang w:eastAsia="ru-RU"/>
        </w:rPr>
        <w:t>Рифкатовна</w:t>
      </w:r>
      <w:proofErr w:type="spellEnd"/>
      <w:r w:rsidRPr="00225F6C">
        <w:rPr>
          <w:rFonts w:ascii="Arial" w:eastAsia="Times New Roman" w:hAnsi="Arial" w:cs="Arial"/>
          <w:b/>
          <w:bCs/>
          <w:color w:val="222222"/>
          <w:sz w:val="21"/>
          <w:szCs w:val="21"/>
          <w:lang w:eastAsia="ru-RU"/>
        </w:rPr>
        <w:t xml:space="preserve"> Султанова,</w:t>
      </w:r>
    </w:p>
    <w:p w:rsidR="00225F6C" w:rsidRPr="00225F6C" w:rsidRDefault="00225F6C" w:rsidP="00225F6C">
      <w:pPr>
        <w:shd w:val="clear" w:color="auto" w:fill="FFFFFF"/>
        <w:spacing w:before="105" w:after="105" w:line="240" w:lineRule="auto"/>
        <w:jc w:val="right"/>
        <w:rPr>
          <w:rFonts w:ascii="Arial" w:eastAsia="Times New Roman" w:hAnsi="Arial" w:cs="Arial"/>
          <w:color w:val="222222"/>
          <w:sz w:val="21"/>
          <w:szCs w:val="21"/>
          <w:lang w:eastAsia="ru-RU"/>
        </w:rPr>
      </w:pPr>
      <w:r w:rsidRPr="00225F6C">
        <w:rPr>
          <w:rFonts w:ascii="Arial" w:eastAsia="Times New Roman" w:hAnsi="Arial" w:cs="Arial"/>
          <w:color w:val="222222"/>
          <w:sz w:val="21"/>
          <w:szCs w:val="21"/>
          <w:lang w:eastAsia="ru-RU"/>
        </w:rPr>
        <w:t>Институт языка, литературы и искусства им. Г. Ибрагимова АН РТ,</w:t>
      </w:r>
    </w:p>
    <w:p w:rsidR="00225F6C" w:rsidRPr="00225F6C" w:rsidRDefault="00225F6C" w:rsidP="00225F6C">
      <w:pPr>
        <w:shd w:val="clear" w:color="auto" w:fill="FFFFFF"/>
        <w:spacing w:before="105" w:after="105" w:line="240" w:lineRule="auto"/>
        <w:jc w:val="right"/>
        <w:rPr>
          <w:rFonts w:ascii="Arial" w:eastAsia="Times New Roman" w:hAnsi="Arial" w:cs="Arial"/>
          <w:color w:val="222222"/>
          <w:sz w:val="21"/>
          <w:szCs w:val="21"/>
          <w:lang w:eastAsia="ru-RU"/>
        </w:rPr>
      </w:pPr>
      <w:r w:rsidRPr="00225F6C">
        <w:rPr>
          <w:rFonts w:ascii="Arial" w:eastAsia="Times New Roman" w:hAnsi="Arial" w:cs="Arial"/>
          <w:color w:val="222222"/>
          <w:sz w:val="21"/>
          <w:szCs w:val="21"/>
          <w:lang w:eastAsia="ru-RU"/>
        </w:rPr>
        <w:t>Россия, 420111, г. Казань, ул. Карла Маркса, 12,</w:t>
      </w:r>
    </w:p>
    <w:p w:rsidR="00225F6C" w:rsidRPr="00225F6C" w:rsidRDefault="00225F6C" w:rsidP="00225F6C">
      <w:pPr>
        <w:shd w:val="clear" w:color="auto" w:fill="FFFFFF"/>
        <w:spacing w:before="105" w:after="105" w:line="240" w:lineRule="auto"/>
        <w:jc w:val="right"/>
        <w:rPr>
          <w:rFonts w:ascii="Arial" w:eastAsia="Times New Roman" w:hAnsi="Arial" w:cs="Arial"/>
          <w:color w:val="222222"/>
          <w:sz w:val="21"/>
          <w:szCs w:val="21"/>
          <w:lang w:eastAsia="ru-RU"/>
        </w:rPr>
      </w:pPr>
      <w:r w:rsidRPr="00225F6C">
        <w:rPr>
          <w:rFonts w:ascii="Arial" w:eastAsia="Times New Roman" w:hAnsi="Arial" w:cs="Arial"/>
          <w:color w:val="222222"/>
          <w:sz w:val="21"/>
          <w:szCs w:val="21"/>
          <w:lang w:eastAsia="ru-RU"/>
        </w:rPr>
        <w:t>rauzasultan.art@mail.ru.</w:t>
      </w:r>
    </w:p>
    <w:p w:rsidR="00225F6C" w:rsidRPr="00225F6C" w:rsidRDefault="00225F6C" w:rsidP="00225F6C">
      <w:pPr>
        <w:shd w:val="clear" w:color="auto" w:fill="FFFFFF"/>
        <w:spacing w:before="105" w:after="105" w:line="240" w:lineRule="auto"/>
        <w:rPr>
          <w:rFonts w:ascii="Arial" w:eastAsia="Times New Roman" w:hAnsi="Arial" w:cs="Arial"/>
          <w:color w:val="222222"/>
          <w:sz w:val="21"/>
          <w:szCs w:val="21"/>
          <w:lang w:eastAsia="ru-RU"/>
        </w:rPr>
      </w:pPr>
    </w:p>
    <w:p w:rsidR="00225F6C" w:rsidRPr="00225F6C" w:rsidRDefault="00225F6C" w:rsidP="00225F6C">
      <w:pPr>
        <w:shd w:val="clear" w:color="auto" w:fill="FFFFFF"/>
        <w:spacing w:before="105" w:after="105" w:line="240" w:lineRule="auto"/>
        <w:rPr>
          <w:rFonts w:ascii="Arial" w:eastAsia="Times New Roman" w:hAnsi="Arial" w:cs="Arial"/>
          <w:color w:val="222222"/>
          <w:sz w:val="21"/>
          <w:szCs w:val="21"/>
          <w:lang w:eastAsia="ru-RU"/>
        </w:rPr>
      </w:pPr>
      <w:r w:rsidRPr="00225F6C">
        <w:rPr>
          <w:rFonts w:ascii="Arial" w:eastAsia="Times New Roman" w:hAnsi="Arial" w:cs="Arial"/>
          <w:color w:val="222222"/>
          <w:sz w:val="21"/>
          <w:szCs w:val="21"/>
          <w:lang w:eastAsia="ru-RU"/>
        </w:rPr>
        <w:t xml:space="preserve">В статье систематизирован материал по истории плакатного искусства в Республике Татарстан. В фокусе внимания автора оказалась история татарского театра, увиденная сквозь призму театральных афиш и плаката. В работе проанализировано 320 источников из различных фондов: ТГАТ имени Г. </w:t>
      </w:r>
      <w:proofErr w:type="spellStart"/>
      <w:r w:rsidRPr="00225F6C">
        <w:rPr>
          <w:rFonts w:ascii="Arial" w:eastAsia="Times New Roman" w:hAnsi="Arial" w:cs="Arial"/>
          <w:color w:val="222222"/>
          <w:sz w:val="21"/>
          <w:szCs w:val="21"/>
          <w:lang w:eastAsia="ru-RU"/>
        </w:rPr>
        <w:t>Камала</w:t>
      </w:r>
      <w:proofErr w:type="spellEnd"/>
      <w:r w:rsidRPr="00225F6C">
        <w:rPr>
          <w:rFonts w:ascii="Arial" w:eastAsia="Times New Roman" w:hAnsi="Arial" w:cs="Arial"/>
          <w:color w:val="222222"/>
          <w:sz w:val="21"/>
          <w:szCs w:val="21"/>
          <w:lang w:eastAsia="ru-RU"/>
        </w:rPr>
        <w:t>, Научной библиотеки им. Н. И. Лобачевского Казанского (Приволжского) федерального университета, ИЯЛИ им. Г. Ибрагимова Академии наук РТ, Национального музея РТ, музея им. С. Сайдашева. Предметом исследования стали содержание, стилистика, художественные особенности оформления афиш на разных этапах развития татарского театра. Новизна данной работы состоит в том, что это первое исследование по истории татарского театрального плакатного искусства, имеющего богатейшие традиции в книжной культуре татарского народа. В статье доказывается, что афиши и плакаты стали своеобразным знаком театра, отражающим сложный исторический путь, его основные тенденции развития.</w:t>
      </w:r>
    </w:p>
    <w:p w:rsidR="00225F6C" w:rsidRPr="00225F6C" w:rsidRDefault="00225F6C" w:rsidP="00225F6C">
      <w:pPr>
        <w:shd w:val="clear" w:color="auto" w:fill="FFFFFF"/>
        <w:spacing w:before="105" w:after="105" w:line="240" w:lineRule="auto"/>
        <w:rPr>
          <w:rFonts w:ascii="Arial" w:eastAsia="Times New Roman" w:hAnsi="Arial" w:cs="Arial"/>
          <w:color w:val="222222"/>
          <w:sz w:val="21"/>
          <w:szCs w:val="21"/>
          <w:lang w:eastAsia="ru-RU"/>
        </w:rPr>
      </w:pPr>
    </w:p>
    <w:p w:rsidR="00225F6C" w:rsidRPr="00225F6C" w:rsidRDefault="00225F6C" w:rsidP="00225F6C">
      <w:pPr>
        <w:shd w:val="clear" w:color="auto" w:fill="FFFFFF"/>
        <w:spacing w:before="105" w:after="105" w:line="240" w:lineRule="auto"/>
        <w:rPr>
          <w:rFonts w:ascii="Arial" w:eastAsia="Times New Roman" w:hAnsi="Arial" w:cs="Arial"/>
          <w:color w:val="222222"/>
          <w:sz w:val="21"/>
          <w:szCs w:val="21"/>
          <w:lang w:eastAsia="ru-RU"/>
        </w:rPr>
      </w:pPr>
      <w:r w:rsidRPr="00225F6C">
        <w:rPr>
          <w:rFonts w:ascii="Arial" w:eastAsia="Times New Roman" w:hAnsi="Arial" w:cs="Arial"/>
          <w:b/>
          <w:bCs/>
          <w:color w:val="222222"/>
          <w:sz w:val="21"/>
          <w:szCs w:val="21"/>
          <w:lang w:eastAsia="ru-RU"/>
        </w:rPr>
        <w:t>Ключевые слова</w:t>
      </w:r>
      <w:r w:rsidRPr="00225F6C">
        <w:rPr>
          <w:rFonts w:ascii="Arial" w:eastAsia="Times New Roman" w:hAnsi="Arial" w:cs="Arial"/>
          <w:color w:val="222222"/>
          <w:sz w:val="21"/>
          <w:szCs w:val="21"/>
          <w:lang w:eastAsia="ru-RU"/>
        </w:rPr>
        <w:t>: татарский театр, татарская драматургия, афиша, плакат, искусствоведение.</w:t>
      </w:r>
    </w:p>
    <w:p w:rsidR="00225F6C" w:rsidRPr="00225F6C" w:rsidRDefault="00225F6C" w:rsidP="00225F6C">
      <w:pPr>
        <w:shd w:val="clear" w:color="auto" w:fill="FFFFFF"/>
        <w:spacing w:before="105" w:after="105" w:line="240" w:lineRule="auto"/>
        <w:jc w:val="both"/>
        <w:rPr>
          <w:rFonts w:ascii="Arial" w:eastAsia="Times New Roman" w:hAnsi="Arial" w:cs="Arial"/>
          <w:color w:val="222222"/>
          <w:sz w:val="21"/>
          <w:szCs w:val="21"/>
          <w:lang w:eastAsia="ru-RU"/>
        </w:rPr>
      </w:pPr>
    </w:p>
    <w:p w:rsidR="00225F6C" w:rsidRPr="00225F6C" w:rsidRDefault="00225F6C" w:rsidP="00225F6C">
      <w:pPr>
        <w:shd w:val="clear" w:color="auto" w:fill="FFFFFF"/>
        <w:spacing w:before="105" w:after="105" w:line="240" w:lineRule="auto"/>
        <w:jc w:val="both"/>
        <w:rPr>
          <w:rFonts w:ascii="Arial" w:eastAsia="Times New Roman" w:hAnsi="Arial" w:cs="Arial"/>
          <w:color w:val="222222"/>
          <w:sz w:val="21"/>
          <w:szCs w:val="21"/>
          <w:lang w:eastAsia="ru-RU"/>
        </w:rPr>
      </w:pPr>
      <w:hyperlink r:id="rId6" w:tgtFrame="_blank" w:history="1">
        <w:r w:rsidRPr="00225F6C">
          <w:rPr>
            <w:rFonts w:ascii="Arial" w:eastAsia="Times New Roman" w:hAnsi="Arial" w:cs="Arial"/>
            <w:color w:val="551A8B"/>
            <w:sz w:val="21"/>
            <w:szCs w:val="21"/>
            <w:lang w:eastAsia="ru-RU"/>
          </w:rPr>
          <w:t>Статья (полная версия)</w:t>
        </w:r>
      </w:hyperlink>
    </w:p>
    <w:p w:rsidR="00750FDF" w:rsidRDefault="00225F6C"/>
    <w:p w:rsidR="00225F6C" w:rsidRDefault="00225F6C">
      <w:hyperlink r:id="rId7" w:history="1">
        <w:r w:rsidRPr="00076B06">
          <w:rPr>
            <w:rStyle w:val="a3"/>
          </w:rPr>
          <w:t>https://kpfu.ru/istoriya-tatarskogo-teatra-v-plakatnom-iskusstve.html</w:t>
        </w:r>
      </w:hyperlink>
    </w:p>
    <w:p w:rsidR="00225F6C" w:rsidRDefault="00225F6C">
      <w:hyperlink r:id="rId8" w:history="1">
        <w:r w:rsidRPr="00076B06">
          <w:rPr>
            <w:rStyle w:val="a3"/>
          </w:rPr>
          <w:t>https://kpfu.ru/portal/docs/F_1130080482/8.pdf</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9" w:history="1">
        <w:r w:rsidRPr="00225F6C">
          <w:rPr>
            <w:rFonts w:ascii="Arial" w:eastAsia="Times New Roman" w:hAnsi="Arial" w:cs="Arial"/>
            <w:b/>
            <w:bCs/>
            <w:color w:val="012A77"/>
            <w:sz w:val="24"/>
            <w:szCs w:val="24"/>
            <w:lang w:eastAsia="ru-RU"/>
          </w:rPr>
          <w:t>О журнале</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0" w:history="1">
        <w:r w:rsidRPr="00225F6C">
          <w:rPr>
            <w:rFonts w:ascii="Arial" w:eastAsia="Times New Roman" w:hAnsi="Arial" w:cs="Arial"/>
            <w:b/>
            <w:bCs/>
            <w:color w:val="012A77"/>
            <w:sz w:val="24"/>
            <w:szCs w:val="24"/>
            <w:lang w:eastAsia="ru-RU"/>
          </w:rPr>
          <w:t>Редколлегия</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1" w:history="1">
        <w:r w:rsidRPr="00225F6C">
          <w:rPr>
            <w:rFonts w:ascii="Arial" w:eastAsia="Times New Roman" w:hAnsi="Arial" w:cs="Arial"/>
            <w:b/>
            <w:bCs/>
            <w:color w:val="012A77"/>
            <w:sz w:val="24"/>
            <w:szCs w:val="24"/>
            <w:lang w:eastAsia="ru-RU"/>
          </w:rPr>
          <w:t>Свежий номер</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2" w:history="1">
        <w:r w:rsidRPr="00225F6C">
          <w:rPr>
            <w:rFonts w:ascii="Arial" w:eastAsia="Times New Roman" w:hAnsi="Arial" w:cs="Arial"/>
            <w:b/>
            <w:bCs/>
            <w:color w:val="012A77"/>
            <w:sz w:val="24"/>
            <w:szCs w:val="24"/>
            <w:lang w:eastAsia="ru-RU"/>
          </w:rPr>
          <w:t>Архив</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3" w:history="1">
        <w:r w:rsidRPr="00225F6C">
          <w:rPr>
            <w:rFonts w:ascii="Arial" w:eastAsia="Times New Roman" w:hAnsi="Arial" w:cs="Arial"/>
            <w:b/>
            <w:bCs/>
            <w:color w:val="012A77"/>
            <w:sz w:val="24"/>
            <w:szCs w:val="24"/>
            <w:lang w:eastAsia="ru-RU"/>
          </w:rPr>
          <w:t>Авторы</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4" w:history="1">
        <w:r w:rsidRPr="00225F6C">
          <w:rPr>
            <w:rFonts w:ascii="Arial" w:eastAsia="Times New Roman" w:hAnsi="Arial" w:cs="Arial"/>
            <w:b/>
            <w:bCs/>
            <w:color w:val="012A77"/>
            <w:sz w:val="24"/>
            <w:szCs w:val="24"/>
            <w:lang w:eastAsia="ru-RU"/>
          </w:rPr>
          <w:t>Разделы журнала "</w:t>
        </w:r>
        <w:proofErr w:type="spellStart"/>
        <w:r w:rsidRPr="00225F6C">
          <w:rPr>
            <w:rFonts w:ascii="Arial" w:eastAsia="Times New Roman" w:hAnsi="Arial" w:cs="Arial"/>
            <w:b/>
            <w:bCs/>
            <w:color w:val="012A77"/>
            <w:sz w:val="24"/>
            <w:szCs w:val="24"/>
            <w:lang w:eastAsia="ru-RU"/>
          </w:rPr>
          <w:t>Tatarica</w:t>
        </w:r>
        <w:proofErr w:type="spellEnd"/>
        <w:r w:rsidRPr="00225F6C">
          <w:rPr>
            <w:rFonts w:ascii="Arial" w:eastAsia="Times New Roman" w:hAnsi="Arial" w:cs="Arial"/>
            <w:b/>
            <w:bCs/>
            <w:color w:val="012A77"/>
            <w:sz w:val="24"/>
            <w:szCs w:val="24"/>
            <w:lang w:eastAsia="ru-RU"/>
          </w:rPr>
          <w:t>"</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5" w:history="1">
        <w:r w:rsidRPr="00225F6C">
          <w:rPr>
            <w:rFonts w:ascii="Arial" w:eastAsia="Times New Roman" w:hAnsi="Arial" w:cs="Arial"/>
            <w:b/>
            <w:bCs/>
            <w:color w:val="012A77"/>
            <w:sz w:val="24"/>
            <w:szCs w:val="24"/>
            <w:lang w:eastAsia="ru-RU"/>
          </w:rPr>
          <w:t>Сведения для авторов</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6" w:history="1">
        <w:r w:rsidRPr="00225F6C">
          <w:rPr>
            <w:rFonts w:ascii="Arial" w:eastAsia="Times New Roman" w:hAnsi="Arial" w:cs="Arial"/>
            <w:b/>
            <w:bCs/>
            <w:color w:val="012A77"/>
            <w:sz w:val="24"/>
            <w:szCs w:val="24"/>
            <w:lang w:eastAsia="ru-RU"/>
          </w:rPr>
          <w:t>Порядок рецензирования рукописей</w:t>
        </w:r>
      </w:hyperlink>
    </w:p>
    <w:p w:rsidR="00225F6C" w:rsidRPr="00225F6C" w:rsidRDefault="00225F6C" w:rsidP="00225F6C">
      <w:pPr>
        <w:numPr>
          <w:ilvl w:val="0"/>
          <w:numId w:val="1"/>
        </w:numPr>
        <w:pBdr>
          <w:left w:val="single" w:sz="36" w:space="11" w:color="012A77"/>
        </w:pBdr>
        <w:shd w:val="clear" w:color="auto" w:fill="FFFFFF"/>
        <w:spacing w:before="100" w:beforeAutospacing="1" w:after="120" w:line="270" w:lineRule="atLeast"/>
        <w:ind w:left="0"/>
        <w:rPr>
          <w:rFonts w:ascii="Arial" w:eastAsia="Times New Roman" w:hAnsi="Arial" w:cs="Arial"/>
          <w:color w:val="012A77"/>
          <w:sz w:val="21"/>
          <w:szCs w:val="21"/>
          <w:lang w:eastAsia="ru-RU"/>
        </w:rPr>
      </w:pPr>
      <w:hyperlink r:id="rId17" w:history="1">
        <w:r w:rsidRPr="00225F6C">
          <w:rPr>
            <w:rFonts w:ascii="Arial" w:eastAsia="Times New Roman" w:hAnsi="Arial" w:cs="Arial"/>
            <w:b/>
            <w:bCs/>
            <w:color w:val="012A77"/>
            <w:sz w:val="24"/>
            <w:szCs w:val="24"/>
            <w:lang w:eastAsia="ru-RU"/>
          </w:rPr>
          <w:t>Редакционная этика</w:t>
        </w:r>
      </w:hyperlink>
    </w:p>
    <w:p w:rsidR="00225F6C" w:rsidRDefault="00225F6C">
      <w:bookmarkStart w:id="0" w:name="_GoBack"/>
      <w:bookmarkEnd w:id="0"/>
    </w:p>
    <w:sectPr w:rsidR="00225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11CB1"/>
    <w:multiLevelType w:val="multilevel"/>
    <w:tmpl w:val="E206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52E"/>
    <w:rsid w:val="00225F6C"/>
    <w:rsid w:val="00630516"/>
    <w:rsid w:val="00684CE9"/>
    <w:rsid w:val="00A02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5F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5F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365311">
      <w:bodyDiv w:val="1"/>
      <w:marLeft w:val="0"/>
      <w:marRight w:val="0"/>
      <w:marTop w:val="0"/>
      <w:marBottom w:val="0"/>
      <w:divBdr>
        <w:top w:val="none" w:sz="0" w:space="0" w:color="auto"/>
        <w:left w:val="none" w:sz="0" w:space="0" w:color="auto"/>
        <w:bottom w:val="none" w:sz="0" w:space="0" w:color="auto"/>
        <w:right w:val="none" w:sz="0" w:space="0" w:color="auto"/>
      </w:divBdr>
    </w:div>
    <w:div w:id="929385663">
      <w:bodyDiv w:val="1"/>
      <w:marLeft w:val="0"/>
      <w:marRight w:val="0"/>
      <w:marTop w:val="0"/>
      <w:marBottom w:val="0"/>
      <w:divBdr>
        <w:top w:val="none" w:sz="0" w:space="0" w:color="auto"/>
        <w:left w:val="none" w:sz="0" w:space="0" w:color="auto"/>
        <w:bottom w:val="none" w:sz="0" w:space="0" w:color="auto"/>
        <w:right w:val="none" w:sz="0" w:space="0" w:color="auto"/>
      </w:divBdr>
      <w:divsChild>
        <w:div w:id="1471633516">
          <w:marLeft w:val="0"/>
          <w:marRight w:val="0"/>
          <w:marTop w:val="0"/>
          <w:marBottom w:val="0"/>
          <w:divBdr>
            <w:top w:val="none" w:sz="0" w:space="0" w:color="auto"/>
            <w:left w:val="none" w:sz="0" w:space="0" w:color="auto"/>
            <w:bottom w:val="none" w:sz="0" w:space="0" w:color="auto"/>
            <w:right w:val="none" w:sz="0" w:space="0" w:color="auto"/>
          </w:divBdr>
          <w:divsChild>
            <w:div w:id="10445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fu.ru/portal/docs/F_1130080482/8.pdf" TargetMode="External"/><Relationship Id="rId13" Type="http://schemas.openxmlformats.org/officeDocument/2006/relationships/hyperlink" Target="https://kpfu.ru/philology-culture/zhurnal-39tatarica39/svedeniya-ob-avtorah"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pfu.ru/istoriya-tatarskogo-teatra-v-plakatnom-iskusstve.html" TargetMode="External"/><Relationship Id="rId12" Type="http://schemas.openxmlformats.org/officeDocument/2006/relationships/hyperlink" Target="https://kpfu.ru/philology-culture/zhurnal-39tatarica39/arhiv" TargetMode="External"/><Relationship Id="rId17" Type="http://schemas.openxmlformats.org/officeDocument/2006/relationships/hyperlink" Target="https://kpfu.ru/philology-culture/zhurnal-39tatarica39/redakcionnaya-etika" TargetMode="External"/><Relationship Id="rId2" Type="http://schemas.openxmlformats.org/officeDocument/2006/relationships/styles" Target="styles.xml"/><Relationship Id="rId16" Type="http://schemas.openxmlformats.org/officeDocument/2006/relationships/hyperlink" Target="https://kpfu.ru/philology-culture/zhurnal-39tatarica39/poryadok-recenzirovaniya-rukopisej" TargetMode="External"/><Relationship Id="rId1" Type="http://schemas.openxmlformats.org/officeDocument/2006/relationships/numbering" Target="numbering.xml"/><Relationship Id="rId6" Type="http://schemas.openxmlformats.org/officeDocument/2006/relationships/hyperlink" Target="https://kpfu.ru/portal/docs/F_1130080482/8.pdf" TargetMode="External"/><Relationship Id="rId11" Type="http://schemas.openxmlformats.org/officeDocument/2006/relationships/hyperlink" Target="https://kpfu.ru/philology-culture/zhurnal-39tatarica39/svezhij-nomer-32781" TargetMode="External"/><Relationship Id="rId5" Type="http://schemas.openxmlformats.org/officeDocument/2006/relationships/webSettings" Target="webSettings.xml"/><Relationship Id="rId15" Type="http://schemas.openxmlformats.org/officeDocument/2006/relationships/hyperlink" Target="https://kpfu.ru/philology-culture/zhurnal-39tatarica39/svedeniya-dlya-avtorov" TargetMode="External"/><Relationship Id="rId10" Type="http://schemas.openxmlformats.org/officeDocument/2006/relationships/hyperlink" Target="https://kpfu.ru/philology-culture/zhurnal-39tatarica39/redakciy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pfu.ru/science/nauchnye-izdaniya/httpkpfuruphilology-culturezhurnal-39tatarica39" TargetMode="External"/><Relationship Id="rId14" Type="http://schemas.openxmlformats.org/officeDocument/2006/relationships/hyperlink" Target="https://kpfu.ru/philology-culture/zhurnal-39tatarica39/razdely-zhurnala-39tatarica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Хайбуллина Ангелина Айратовна</dc:creator>
  <cp:keywords/>
  <dc:description/>
  <cp:lastModifiedBy>Хайбуллина Ангелина Айратовна</cp:lastModifiedBy>
  <cp:revision>2</cp:revision>
  <dcterms:created xsi:type="dcterms:W3CDTF">2018-07-03T12:09:00Z</dcterms:created>
  <dcterms:modified xsi:type="dcterms:W3CDTF">2018-07-03T12:09:00Z</dcterms:modified>
</cp:coreProperties>
</file>